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DD" w:rsidRPr="00D667E8" w:rsidRDefault="00FA73F5" w:rsidP="007A52E8">
      <w:pPr>
        <w:spacing w:after="40" w:line="25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E8">
        <w:rPr>
          <w:rFonts w:ascii="Times New Roman" w:hAnsi="Times New Roman" w:cs="Times New Roman"/>
          <w:b/>
          <w:sz w:val="24"/>
          <w:szCs w:val="24"/>
        </w:rPr>
        <w:t>ISRAELI DEMOCRACY</w:t>
      </w:r>
    </w:p>
    <w:p w:rsidR="00450F36" w:rsidRPr="00D667E8" w:rsidRDefault="00635927" w:rsidP="00AF0136">
      <w:pPr>
        <w:pStyle w:val="ListParagraph"/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D667E8">
        <w:rPr>
          <w:rFonts w:ascii="Times New Roman" w:hAnsi="Times New Roman" w:cs="Times New Roman"/>
          <w:sz w:val="24"/>
          <w:szCs w:val="24"/>
        </w:rPr>
        <w:t>Especially whe</w:t>
      </w:r>
      <w:r w:rsidR="00E42A35" w:rsidRPr="00D667E8">
        <w:rPr>
          <w:rFonts w:ascii="Times New Roman" w:hAnsi="Times New Roman" w:cs="Times New Roman"/>
          <w:sz w:val="24"/>
          <w:szCs w:val="24"/>
        </w:rPr>
        <w:t>n it is being criticized for</w:t>
      </w:r>
      <w:r w:rsidRPr="00D667E8">
        <w:rPr>
          <w:rFonts w:ascii="Times New Roman" w:hAnsi="Times New Roman" w:cs="Times New Roman"/>
          <w:sz w:val="24"/>
          <w:szCs w:val="24"/>
        </w:rPr>
        <w:t xml:space="preserve"> human rights violations, </w:t>
      </w:r>
      <w:r w:rsidR="001C6428" w:rsidRPr="00D667E8">
        <w:rPr>
          <w:rFonts w:ascii="Times New Roman" w:hAnsi="Times New Roman" w:cs="Times New Roman"/>
          <w:sz w:val="24"/>
          <w:szCs w:val="24"/>
        </w:rPr>
        <w:t xml:space="preserve">Israel </w:t>
      </w:r>
      <w:r w:rsidRPr="00D667E8">
        <w:rPr>
          <w:rFonts w:ascii="Times New Roman" w:hAnsi="Times New Roman" w:cs="Times New Roman"/>
          <w:sz w:val="24"/>
          <w:szCs w:val="24"/>
        </w:rPr>
        <w:t xml:space="preserve">supporters </w:t>
      </w:r>
      <w:r w:rsidR="00772C1B" w:rsidRPr="00D667E8">
        <w:rPr>
          <w:rFonts w:ascii="Times New Roman" w:hAnsi="Times New Roman" w:cs="Times New Roman"/>
          <w:sz w:val="24"/>
          <w:szCs w:val="24"/>
        </w:rPr>
        <w:t xml:space="preserve">regularly </w:t>
      </w:r>
      <w:r w:rsidR="001C6428" w:rsidRPr="00D667E8">
        <w:rPr>
          <w:rFonts w:ascii="Times New Roman" w:hAnsi="Times New Roman" w:cs="Times New Roman"/>
          <w:sz w:val="24"/>
          <w:szCs w:val="24"/>
        </w:rPr>
        <w:t>declare that</w:t>
      </w:r>
      <w:r w:rsidRPr="00D667E8">
        <w:rPr>
          <w:rFonts w:ascii="Times New Roman" w:hAnsi="Times New Roman" w:cs="Times New Roman"/>
          <w:sz w:val="24"/>
          <w:szCs w:val="24"/>
        </w:rPr>
        <w:t xml:space="preserve"> “Israel is the </w:t>
      </w:r>
      <w:r w:rsidR="001C6428" w:rsidRPr="00D667E8">
        <w:rPr>
          <w:rFonts w:ascii="Times New Roman" w:hAnsi="Times New Roman" w:cs="Times New Roman"/>
          <w:sz w:val="24"/>
          <w:szCs w:val="24"/>
        </w:rPr>
        <w:t xml:space="preserve">only democracy in the </w:t>
      </w:r>
      <w:r w:rsidRPr="00D667E8">
        <w:rPr>
          <w:rFonts w:ascii="Times New Roman" w:hAnsi="Times New Roman" w:cs="Times New Roman"/>
          <w:sz w:val="24"/>
          <w:szCs w:val="24"/>
        </w:rPr>
        <w:t>Middle East</w:t>
      </w:r>
      <w:r w:rsidR="00C71A50" w:rsidRPr="00D667E8">
        <w:rPr>
          <w:rFonts w:ascii="Times New Roman" w:hAnsi="Times New Roman" w:cs="Times New Roman"/>
          <w:sz w:val="24"/>
          <w:szCs w:val="24"/>
        </w:rPr>
        <w:t>.</w:t>
      </w:r>
      <w:r w:rsidRPr="00D667E8">
        <w:rPr>
          <w:rFonts w:ascii="Times New Roman" w:hAnsi="Times New Roman" w:cs="Times New Roman"/>
          <w:sz w:val="24"/>
          <w:szCs w:val="24"/>
        </w:rPr>
        <w:t xml:space="preserve">” </w:t>
      </w:r>
      <w:r w:rsidR="00830DFC" w:rsidRPr="00D667E8">
        <w:rPr>
          <w:rFonts w:ascii="Times New Roman" w:hAnsi="Times New Roman" w:cs="Times New Roman"/>
          <w:sz w:val="24"/>
          <w:szCs w:val="24"/>
        </w:rPr>
        <w:t>Th</w:t>
      </w:r>
      <w:r w:rsidR="00FF7BE6" w:rsidRPr="00D667E8">
        <w:rPr>
          <w:rFonts w:ascii="Times New Roman" w:hAnsi="Times New Roman" w:cs="Times New Roman"/>
          <w:sz w:val="24"/>
          <w:szCs w:val="24"/>
        </w:rPr>
        <w:t>e use of th</w:t>
      </w:r>
      <w:r w:rsidR="00951D05" w:rsidRPr="00D667E8">
        <w:rPr>
          <w:rFonts w:ascii="Times New Roman" w:hAnsi="Times New Roman" w:cs="Times New Roman"/>
          <w:sz w:val="24"/>
          <w:szCs w:val="24"/>
        </w:rPr>
        <w:t>is</w:t>
      </w:r>
      <w:r w:rsidR="00830DFC" w:rsidRPr="00D667E8">
        <w:rPr>
          <w:rFonts w:ascii="Times New Roman" w:hAnsi="Times New Roman" w:cs="Times New Roman"/>
          <w:sz w:val="24"/>
          <w:szCs w:val="24"/>
        </w:rPr>
        <w:t xml:space="preserve"> phrase </w:t>
      </w:r>
      <w:r w:rsidR="00827C2C" w:rsidRPr="00D667E8">
        <w:rPr>
          <w:rFonts w:ascii="Times New Roman" w:hAnsi="Times New Roman" w:cs="Times New Roman"/>
          <w:sz w:val="24"/>
          <w:szCs w:val="24"/>
        </w:rPr>
        <w:t>is a psychological mechanism</w:t>
      </w:r>
      <w:r w:rsidR="0017388B" w:rsidRPr="00D667E8">
        <w:rPr>
          <w:rFonts w:ascii="Times New Roman" w:hAnsi="Times New Roman" w:cs="Times New Roman"/>
          <w:sz w:val="24"/>
          <w:szCs w:val="24"/>
        </w:rPr>
        <w:t>,</w:t>
      </w:r>
      <w:r w:rsidR="00827C2C" w:rsidRPr="00D667E8">
        <w:rPr>
          <w:rFonts w:ascii="Times New Roman" w:hAnsi="Times New Roman" w:cs="Times New Roman"/>
          <w:sz w:val="24"/>
          <w:szCs w:val="24"/>
        </w:rPr>
        <w:t xml:space="preserve"> whose purpose is to remain blind to </w:t>
      </w:r>
      <w:r w:rsidR="00581B51" w:rsidRPr="00D667E8">
        <w:rPr>
          <w:rFonts w:ascii="Times New Roman" w:hAnsi="Times New Roman" w:cs="Times New Roman"/>
          <w:sz w:val="24"/>
          <w:szCs w:val="24"/>
        </w:rPr>
        <w:t>the suffering caused by Israeli policy</w:t>
      </w:r>
      <w:r w:rsidR="00830DFC" w:rsidRPr="00D667E8">
        <w:rPr>
          <w:rFonts w:ascii="Times New Roman" w:hAnsi="Times New Roman" w:cs="Times New Roman"/>
          <w:sz w:val="24"/>
          <w:szCs w:val="24"/>
        </w:rPr>
        <w:t>.</w:t>
      </w:r>
    </w:p>
    <w:p w:rsidR="00635927" w:rsidRPr="00D667E8" w:rsidRDefault="00C71A50" w:rsidP="00AF0136">
      <w:pPr>
        <w:pStyle w:val="ListParagraph"/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D667E8">
        <w:rPr>
          <w:rFonts w:ascii="Times New Roman" w:hAnsi="Times New Roman" w:cs="Times New Roman"/>
          <w:sz w:val="24"/>
          <w:szCs w:val="24"/>
        </w:rPr>
        <w:t>I</w:t>
      </w:r>
      <w:r w:rsidR="00635927" w:rsidRPr="00D667E8">
        <w:rPr>
          <w:rFonts w:ascii="Times New Roman" w:hAnsi="Times New Roman" w:cs="Times New Roman"/>
          <w:sz w:val="24"/>
          <w:szCs w:val="24"/>
        </w:rPr>
        <w:t xml:space="preserve">srael has never </w:t>
      </w:r>
      <w:r w:rsidR="00165166" w:rsidRPr="00D667E8">
        <w:rPr>
          <w:rFonts w:ascii="Times New Roman" w:hAnsi="Times New Roman" w:cs="Times New Roman"/>
          <w:sz w:val="24"/>
          <w:szCs w:val="24"/>
        </w:rPr>
        <w:t>p</w:t>
      </w:r>
      <w:r w:rsidR="007362B8" w:rsidRPr="00D667E8">
        <w:rPr>
          <w:rFonts w:ascii="Times New Roman" w:hAnsi="Times New Roman" w:cs="Times New Roman"/>
          <w:sz w:val="24"/>
          <w:szCs w:val="24"/>
        </w:rPr>
        <w:t>a</w:t>
      </w:r>
      <w:r w:rsidR="00165166" w:rsidRPr="00D667E8">
        <w:rPr>
          <w:rFonts w:ascii="Times New Roman" w:hAnsi="Times New Roman" w:cs="Times New Roman"/>
          <w:sz w:val="24"/>
          <w:szCs w:val="24"/>
        </w:rPr>
        <w:t>sse</w:t>
      </w:r>
      <w:r w:rsidR="007362B8" w:rsidRPr="00D667E8">
        <w:rPr>
          <w:rFonts w:ascii="Times New Roman" w:hAnsi="Times New Roman" w:cs="Times New Roman"/>
          <w:sz w:val="24"/>
          <w:szCs w:val="24"/>
        </w:rPr>
        <w:t>d</w:t>
      </w:r>
      <w:r w:rsidR="00635927" w:rsidRPr="00D667E8">
        <w:rPr>
          <w:rFonts w:ascii="Times New Roman" w:hAnsi="Times New Roman" w:cs="Times New Roman"/>
          <w:sz w:val="24"/>
          <w:szCs w:val="24"/>
        </w:rPr>
        <w:t xml:space="preserve"> a </w:t>
      </w:r>
      <w:r w:rsidR="0098102D" w:rsidRPr="00D667E8">
        <w:rPr>
          <w:rFonts w:ascii="Times New Roman" w:hAnsi="Times New Roman" w:cs="Times New Roman"/>
          <w:sz w:val="24"/>
          <w:szCs w:val="24"/>
        </w:rPr>
        <w:t xml:space="preserve">constitution. </w:t>
      </w:r>
      <w:r w:rsidR="00570C8E" w:rsidRPr="00D667E8">
        <w:rPr>
          <w:rFonts w:ascii="Times New Roman" w:hAnsi="Times New Roman" w:cs="Times New Roman"/>
          <w:sz w:val="24"/>
          <w:szCs w:val="24"/>
        </w:rPr>
        <w:t>Such a document</w:t>
      </w:r>
      <w:r w:rsidR="00165166" w:rsidRPr="00D667E8">
        <w:rPr>
          <w:rFonts w:ascii="Times New Roman" w:hAnsi="Times New Roman" w:cs="Times New Roman"/>
          <w:sz w:val="24"/>
          <w:szCs w:val="24"/>
        </w:rPr>
        <w:t xml:space="preserve"> </w:t>
      </w:r>
      <w:r w:rsidR="00461B0E" w:rsidRPr="00D667E8">
        <w:rPr>
          <w:rFonts w:ascii="Times New Roman" w:hAnsi="Times New Roman" w:cs="Times New Roman"/>
          <w:sz w:val="24"/>
          <w:szCs w:val="24"/>
        </w:rPr>
        <w:t>c</w:t>
      </w:r>
      <w:r w:rsidR="00165166" w:rsidRPr="00D667E8">
        <w:rPr>
          <w:rFonts w:ascii="Times New Roman" w:hAnsi="Times New Roman" w:cs="Times New Roman"/>
          <w:sz w:val="24"/>
          <w:szCs w:val="24"/>
        </w:rPr>
        <w:t>ould</w:t>
      </w:r>
      <w:r w:rsidR="002F0EAB" w:rsidRPr="00D667E8">
        <w:rPr>
          <w:rFonts w:ascii="Times New Roman" w:hAnsi="Times New Roman" w:cs="Times New Roman"/>
          <w:sz w:val="24"/>
          <w:szCs w:val="24"/>
        </w:rPr>
        <w:t xml:space="preserve"> be</w:t>
      </w:r>
      <w:r w:rsidR="00165166" w:rsidRPr="00D667E8">
        <w:rPr>
          <w:rFonts w:ascii="Times New Roman" w:hAnsi="Times New Roman" w:cs="Times New Roman"/>
          <w:sz w:val="24"/>
          <w:szCs w:val="24"/>
        </w:rPr>
        <w:t xml:space="preserve"> </w:t>
      </w:r>
      <w:r w:rsidR="00461B0E" w:rsidRPr="00D667E8">
        <w:rPr>
          <w:rFonts w:ascii="Times New Roman" w:hAnsi="Times New Roman" w:cs="Times New Roman"/>
          <w:sz w:val="24"/>
          <w:szCs w:val="24"/>
        </w:rPr>
        <w:t>an obstacle</w:t>
      </w:r>
      <w:r w:rsidR="0022146A" w:rsidRPr="00D667E8">
        <w:rPr>
          <w:rFonts w:ascii="Times New Roman" w:hAnsi="Times New Roman" w:cs="Times New Roman"/>
          <w:sz w:val="24"/>
          <w:szCs w:val="24"/>
        </w:rPr>
        <w:t xml:space="preserve"> to Israel’s</w:t>
      </w:r>
      <w:r w:rsidR="00165166" w:rsidRPr="00D667E8">
        <w:rPr>
          <w:rFonts w:ascii="Times New Roman" w:hAnsi="Times New Roman" w:cs="Times New Roman"/>
          <w:sz w:val="24"/>
          <w:szCs w:val="24"/>
        </w:rPr>
        <w:t xml:space="preserve"> den</w:t>
      </w:r>
      <w:r w:rsidR="0022146A" w:rsidRPr="00D667E8">
        <w:rPr>
          <w:rFonts w:ascii="Times New Roman" w:hAnsi="Times New Roman" w:cs="Times New Roman"/>
          <w:sz w:val="24"/>
          <w:szCs w:val="24"/>
        </w:rPr>
        <w:t>ial of</w:t>
      </w:r>
      <w:r w:rsidR="00635927" w:rsidRPr="00D667E8">
        <w:rPr>
          <w:rFonts w:ascii="Times New Roman" w:hAnsi="Times New Roman" w:cs="Times New Roman"/>
          <w:sz w:val="24"/>
          <w:szCs w:val="24"/>
        </w:rPr>
        <w:t xml:space="preserve"> equal rights to </w:t>
      </w:r>
      <w:r w:rsidR="007362B8" w:rsidRPr="00D667E8">
        <w:rPr>
          <w:rFonts w:ascii="Times New Roman" w:hAnsi="Times New Roman" w:cs="Times New Roman"/>
          <w:sz w:val="24"/>
          <w:szCs w:val="24"/>
        </w:rPr>
        <w:t>the</w:t>
      </w:r>
      <w:r w:rsidR="00635927" w:rsidRPr="00D667E8">
        <w:rPr>
          <w:rFonts w:ascii="Times New Roman" w:hAnsi="Times New Roman" w:cs="Times New Roman"/>
          <w:sz w:val="24"/>
          <w:szCs w:val="24"/>
        </w:rPr>
        <w:t xml:space="preserve"> </w:t>
      </w:r>
      <w:r w:rsidR="007362B8" w:rsidRPr="00D667E8">
        <w:rPr>
          <w:rFonts w:ascii="Times New Roman" w:hAnsi="Times New Roman" w:cs="Times New Roman"/>
          <w:sz w:val="24"/>
          <w:szCs w:val="24"/>
        </w:rPr>
        <w:t xml:space="preserve">nearly 2 million </w:t>
      </w:r>
      <w:r w:rsidR="0022146A" w:rsidRPr="00D667E8">
        <w:rPr>
          <w:rFonts w:ascii="Times New Roman" w:hAnsi="Times New Roman" w:cs="Times New Roman"/>
          <w:sz w:val="24"/>
          <w:szCs w:val="24"/>
        </w:rPr>
        <w:t xml:space="preserve">non-Jewish </w:t>
      </w:r>
      <w:r w:rsidR="00635927" w:rsidRPr="00D667E8">
        <w:rPr>
          <w:rFonts w:ascii="Times New Roman" w:hAnsi="Times New Roman" w:cs="Times New Roman"/>
          <w:sz w:val="24"/>
          <w:szCs w:val="24"/>
        </w:rPr>
        <w:t>citizens</w:t>
      </w:r>
      <w:r w:rsidR="007362B8" w:rsidRPr="00D667E8">
        <w:rPr>
          <w:rFonts w:ascii="Times New Roman" w:hAnsi="Times New Roman" w:cs="Times New Roman"/>
          <w:sz w:val="24"/>
          <w:szCs w:val="24"/>
        </w:rPr>
        <w:t xml:space="preserve"> living in Israel proper</w:t>
      </w:r>
      <w:r w:rsidR="00635927" w:rsidRPr="00D667E8">
        <w:rPr>
          <w:rFonts w:ascii="Times New Roman" w:hAnsi="Times New Roman" w:cs="Times New Roman"/>
          <w:sz w:val="24"/>
          <w:szCs w:val="24"/>
        </w:rPr>
        <w:t xml:space="preserve">. </w:t>
      </w:r>
      <w:r w:rsidR="00FC526E" w:rsidRPr="00D667E8">
        <w:rPr>
          <w:rFonts w:ascii="Times New Roman" w:hAnsi="Times New Roman" w:cs="Times New Roman"/>
          <w:sz w:val="24"/>
          <w:szCs w:val="24"/>
        </w:rPr>
        <w:t>These citizens</w:t>
      </w:r>
      <w:r w:rsidR="00635927" w:rsidRPr="00D667E8">
        <w:rPr>
          <w:rFonts w:ascii="Times New Roman" w:hAnsi="Times New Roman" w:cs="Times New Roman"/>
          <w:sz w:val="24"/>
          <w:szCs w:val="24"/>
        </w:rPr>
        <w:t xml:space="preserve"> are discriminated against in nearly all areas of life.</w:t>
      </w:r>
      <w:r w:rsidR="0098102D" w:rsidRPr="00D667E8">
        <w:rPr>
          <w:rFonts w:ascii="Times New Roman" w:hAnsi="Times New Roman" w:cs="Times New Roman"/>
          <w:sz w:val="24"/>
          <w:szCs w:val="24"/>
        </w:rPr>
        <w:t xml:space="preserve"> </w:t>
      </w:r>
      <w:r w:rsidR="0098102D" w:rsidRPr="00D667E8">
        <w:rPr>
          <w:rFonts w:ascii="Times New Roman" w:hAnsi="Times New Roman" w:cs="Times New Roman"/>
          <w:i/>
          <w:sz w:val="24"/>
          <w:szCs w:val="24"/>
        </w:rPr>
        <w:t>Adalah, the Legal Center for Minority Rights in Israel</w:t>
      </w:r>
      <w:r w:rsidR="0022146A" w:rsidRPr="00D667E8">
        <w:rPr>
          <w:rFonts w:ascii="Times New Roman" w:hAnsi="Times New Roman" w:cs="Times New Roman"/>
          <w:sz w:val="24"/>
          <w:szCs w:val="24"/>
        </w:rPr>
        <w:t xml:space="preserve"> has compiled a list of over fifty discriminatory laws.</w:t>
      </w:r>
      <w:r w:rsidRPr="00D667E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35927" w:rsidRPr="00D667E8">
        <w:rPr>
          <w:rFonts w:ascii="Times New Roman" w:hAnsi="Times New Roman" w:cs="Times New Roman"/>
          <w:sz w:val="24"/>
          <w:szCs w:val="24"/>
        </w:rPr>
        <w:t xml:space="preserve"> </w:t>
      </w:r>
      <w:r w:rsidRPr="00D66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BA" w:rsidRPr="00D667E8" w:rsidRDefault="00AA6DE7" w:rsidP="00AF0136">
      <w:pPr>
        <w:pStyle w:val="mb311noboraCharCharCharCharCharChar"/>
        <w:numPr>
          <w:ilvl w:val="0"/>
          <w:numId w:val="1"/>
        </w:numPr>
        <w:spacing w:before="0" w:after="0" w:line="252" w:lineRule="auto"/>
        <w:rPr>
          <w:rStyle w:val="link3"/>
          <w:sz w:val="24"/>
          <w:szCs w:val="24"/>
        </w:rPr>
      </w:pPr>
      <w:r w:rsidRPr="00D667E8">
        <w:rPr>
          <w:sz w:val="24"/>
          <w:szCs w:val="24"/>
        </w:rPr>
        <w:t xml:space="preserve">Among the </w:t>
      </w:r>
      <w:r w:rsidR="004629BA" w:rsidRPr="00D667E8">
        <w:rPr>
          <w:sz w:val="24"/>
          <w:szCs w:val="24"/>
        </w:rPr>
        <w:t xml:space="preserve">earliest of </w:t>
      </w:r>
      <w:r w:rsidR="00390A46" w:rsidRPr="00D667E8">
        <w:rPr>
          <w:sz w:val="24"/>
          <w:szCs w:val="24"/>
        </w:rPr>
        <w:t>these</w:t>
      </w:r>
      <w:r w:rsidR="004629BA" w:rsidRPr="00D667E8">
        <w:rPr>
          <w:sz w:val="24"/>
          <w:szCs w:val="24"/>
        </w:rPr>
        <w:t xml:space="preserve"> laws was the </w:t>
      </w:r>
      <w:r w:rsidR="004629BA" w:rsidRPr="00D667E8">
        <w:rPr>
          <w:rStyle w:val="high"/>
          <w:i/>
          <w:sz w:val="24"/>
          <w:szCs w:val="24"/>
        </w:rPr>
        <w:t>Absentees Property Law</w:t>
      </w:r>
      <w:r w:rsidR="004629BA" w:rsidRPr="00D667E8">
        <w:rPr>
          <w:rStyle w:val="link3"/>
          <w:sz w:val="24"/>
          <w:szCs w:val="24"/>
        </w:rPr>
        <w:t>, which confiscate</w:t>
      </w:r>
      <w:r w:rsidR="00297777" w:rsidRPr="00D667E8">
        <w:rPr>
          <w:rStyle w:val="link3"/>
          <w:sz w:val="24"/>
          <w:szCs w:val="24"/>
        </w:rPr>
        <w:t>d</w:t>
      </w:r>
      <w:r w:rsidR="004629BA" w:rsidRPr="00D667E8">
        <w:rPr>
          <w:rStyle w:val="link3"/>
          <w:sz w:val="24"/>
          <w:szCs w:val="24"/>
        </w:rPr>
        <w:t xml:space="preserve"> </w:t>
      </w:r>
      <w:r w:rsidR="00297777" w:rsidRPr="00D667E8">
        <w:rPr>
          <w:rStyle w:val="link3"/>
          <w:sz w:val="24"/>
          <w:szCs w:val="24"/>
        </w:rPr>
        <w:t xml:space="preserve">Palestinian-owned </w:t>
      </w:r>
      <w:r w:rsidR="004629BA" w:rsidRPr="00D667E8">
        <w:rPr>
          <w:rStyle w:val="link3"/>
          <w:sz w:val="24"/>
          <w:szCs w:val="24"/>
        </w:rPr>
        <w:t xml:space="preserve">property inside Israel. Passed in 1950, this law </w:t>
      </w:r>
      <w:r w:rsidR="00297777" w:rsidRPr="00D667E8">
        <w:rPr>
          <w:sz w:val="24"/>
          <w:szCs w:val="24"/>
        </w:rPr>
        <w:t>decreed</w:t>
      </w:r>
      <w:r w:rsidR="004629BA" w:rsidRPr="00D667E8">
        <w:rPr>
          <w:sz w:val="24"/>
          <w:szCs w:val="24"/>
        </w:rPr>
        <w:t xml:space="preserve"> that any Arab property owner not living on his land from November 29, 1947 to September 1, 1948, forfeited his property to the State of Israel without compensation.</w:t>
      </w:r>
      <w:r w:rsidR="004629BA" w:rsidRPr="00D667E8">
        <w:rPr>
          <w:rStyle w:val="link3"/>
          <w:sz w:val="24"/>
          <w:szCs w:val="24"/>
        </w:rPr>
        <w:t xml:space="preserve"> </w:t>
      </w:r>
      <w:r w:rsidR="007518D8" w:rsidRPr="00D667E8">
        <w:rPr>
          <w:rStyle w:val="link3"/>
          <w:sz w:val="24"/>
          <w:szCs w:val="24"/>
        </w:rPr>
        <w:t xml:space="preserve">A consequence of this law </w:t>
      </w:r>
      <w:r w:rsidR="0089321B" w:rsidRPr="00D667E8">
        <w:rPr>
          <w:rStyle w:val="link3"/>
          <w:sz w:val="24"/>
          <w:szCs w:val="24"/>
        </w:rPr>
        <w:t xml:space="preserve">is that </w:t>
      </w:r>
      <w:r w:rsidR="00297777" w:rsidRPr="00D667E8">
        <w:rPr>
          <w:rStyle w:val="link3"/>
          <w:sz w:val="24"/>
          <w:szCs w:val="24"/>
        </w:rPr>
        <w:t>40% of Palestinian land was transferred to Jewish ownership.</w:t>
      </w:r>
      <w:r w:rsidR="00B8248F" w:rsidRPr="00D667E8">
        <w:rPr>
          <w:rStyle w:val="FootnoteReference"/>
          <w:sz w:val="24"/>
          <w:szCs w:val="24"/>
        </w:rPr>
        <w:footnoteReference w:id="2"/>
      </w:r>
    </w:p>
    <w:p w:rsidR="00F2400E" w:rsidRPr="00D667E8" w:rsidRDefault="00F2400E" w:rsidP="00AF0136">
      <w:pPr>
        <w:pStyle w:val="mb311noboraCharCharCharCharCharChar"/>
        <w:numPr>
          <w:ilvl w:val="0"/>
          <w:numId w:val="1"/>
        </w:numPr>
        <w:spacing w:before="0" w:after="0" w:line="252" w:lineRule="auto"/>
        <w:rPr>
          <w:sz w:val="24"/>
          <w:szCs w:val="24"/>
        </w:rPr>
      </w:pPr>
      <w:r w:rsidRPr="00D667E8">
        <w:rPr>
          <w:sz w:val="24"/>
          <w:szCs w:val="24"/>
        </w:rPr>
        <w:t xml:space="preserve">Immigration laws privilege Jews over Palestinians, allowing a Jewish law of return but no equivalent right for Palestinians. </w:t>
      </w:r>
      <w:r w:rsidR="008C5454" w:rsidRPr="00D667E8">
        <w:rPr>
          <w:sz w:val="24"/>
          <w:szCs w:val="24"/>
        </w:rPr>
        <w:t xml:space="preserve"> </w:t>
      </w:r>
    </w:p>
    <w:p w:rsidR="007A52E8" w:rsidRPr="00D667E8" w:rsidRDefault="007A52E8" w:rsidP="00AF0136">
      <w:pPr>
        <w:pStyle w:val="NormalWeb"/>
        <w:numPr>
          <w:ilvl w:val="0"/>
          <w:numId w:val="1"/>
        </w:numPr>
        <w:spacing w:before="0" w:beforeAutospacing="0" w:after="0" w:afterAutospacing="0" w:line="252" w:lineRule="auto"/>
      </w:pPr>
      <w:r w:rsidRPr="00D667E8">
        <w:t xml:space="preserve">Israel’s Law of Return assumes every Jew </w:t>
      </w:r>
      <w:r w:rsidR="00680011" w:rsidRPr="00D667E8">
        <w:t>in the world</w:t>
      </w:r>
      <w:r w:rsidRPr="00D667E8">
        <w:t xml:space="preserve"> has “returned,” even if they were born in Israel and never left.  The law treats all Palestinians </w:t>
      </w:r>
      <w:r w:rsidR="00953B6C" w:rsidRPr="00D667E8">
        <w:t xml:space="preserve">as </w:t>
      </w:r>
      <w:r w:rsidRPr="00D667E8">
        <w:t>“absentee” even if they ar</w:t>
      </w:r>
      <w:r w:rsidR="00881B51" w:rsidRPr="00D667E8">
        <w:t>e actually “present” in Israel.</w:t>
      </w:r>
    </w:p>
    <w:p w:rsidR="004629BA" w:rsidRPr="00D667E8" w:rsidRDefault="004629BA" w:rsidP="00AF0136">
      <w:pPr>
        <w:pStyle w:val="mb311noboraCharCharCharCharCharChar"/>
        <w:numPr>
          <w:ilvl w:val="0"/>
          <w:numId w:val="1"/>
        </w:numPr>
        <w:spacing w:before="0" w:after="0" w:line="252" w:lineRule="auto"/>
        <w:rPr>
          <w:sz w:val="24"/>
          <w:szCs w:val="24"/>
        </w:rPr>
      </w:pPr>
      <w:r w:rsidRPr="00D667E8">
        <w:rPr>
          <w:rStyle w:val="link3"/>
          <w:sz w:val="24"/>
          <w:szCs w:val="24"/>
        </w:rPr>
        <w:t>Before 1948, Palestinians owned in excess of 90% of the land in Palestine; in 1952 they owned</w:t>
      </w:r>
      <w:r w:rsidR="00AB6F69" w:rsidRPr="00D667E8">
        <w:rPr>
          <w:rStyle w:val="link3"/>
          <w:sz w:val="24"/>
          <w:szCs w:val="24"/>
        </w:rPr>
        <w:t xml:space="preserve"> 3%; today, they are a mostly </w:t>
      </w:r>
      <w:r w:rsidRPr="00D667E8">
        <w:rPr>
          <w:rStyle w:val="link3"/>
          <w:sz w:val="24"/>
          <w:szCs w:val="24"/>
        </w:rPr>
        <w:t xml:space="preserve">landless people. </w:t>
      </w:r>
      <w:r w:rsidR="009712F4" w:rsidRPr="00D667E8">
        <w:rPr>
          <w:rStyle w:val="link3"/>
          <w:sz w:val="24"/>
          <w:szCs w:val="24"/>
        </w:rPr>
        <w:t xml:space="preserve"> </w:t>
      </w:r>
    </w:p>
    <w:p w:rsidR="00AA6DE7" w:rsidRPr="00D667E8" w:rsidRDefault="002B3D89" w:rsidP="00AF0136">
      <w:pPr>
        <w:pStyle w:val="mb311noboraCharCharCharCharCharChar"/>
        <w:numPr>
          <w:ilvl w:val="0"/>
          <w:numId w:val="1"/>
        </w:numPr>
        <w:spacing w:before="0" w:after="0" w:line="252" w:lineRule="auto"/>
        <w:rPr>
          <w:sz w:val="24"/>
          <w:szCs w:val="24"/>
        </w:rPr>
      </w:pPr>
      <w:r w:rsidRPr="00D667E8">
        <w:rPr>
          <w:sz w:val="24"/>
          <w:szCs w:val="24"/>
        </w:rPr>
        <w:t>D</w:t>
      </w:r>
      <w:r w:rsidR="00AA6DE7" w:rsidRPr="00D667E8">
        <w:rPr>
          <w:sz w:val="24"/>
          <w:szCs w:val="24"/>
        </w:rPr>
        <w:t xml:space="preserve">iscriminatory laws </w:t>
      </w:r>
      <w:r w:rsidR="004629A2" w:rsidRPr="00D667E8">
        <w:rPr>
          <w:sz w:val="24"/>
          <w:szCs w:val="24"/>
        </w:rPr>
        <w:t>includ</w:t>
      </w:r>
      <w:r w:rsidR="00AA6DE7" w:rsidRPr="00D667E8">
        <w:rPr>
          <w:sz w:val="24"/>
          <w:szCs w:val="24"/>
        </w:rPr>
        <w:t xml:space="preserve">e the </w:t>
      </w:r>
      <w:r w:rsidR="00AA6DE7" w:rsidRPr="00D667E8">
        <w:rPr>
          <w:i/>
          <w:sz w:val="24"/>
          <w:szCs w:val="24"/>
        </w:rPr>
        <w:t>Nakba Law</w:t>
      </w:r>
      <w:r w:rsidR="004629A2" w:rsidRPr="00D667E8">
        <w:rPr>
          <w:sz w:val="24"/>
          <w:szCs w:val="24"/>
        </w:rPr>
        <w:t>,</w:t>
      </w:r>
      <w:r w:rsidR="00AA6DE7" w:rsidRPr="00D667E8">
        <w:rPr>
          <w:sz w:val="24"/>
          <w:szCs w:val="24"/>
        </w:rPr>
        <w:t xml:space="preserve"> which </w:t>
      </w:r>
      <w:r w:rsidR="00B63DCC" w:rsidRPr="00D667E8">
        <w:rPr>
          <w:sz w:val="24"/>
          <w:szCs w:val="24"/>
        </w:rPr>
        <w:t>mand</w:t>
      </w:r>
      <w:r w:rsidR="00AA6DE7" w:rsidRPr="00D667E8">
        <w:rPr>
          <w:sz w:val="24"/>
          <w:szCs w:val="24"/>
        </w:rPr>
        <w:t xml:space="preserve">ates the withdrawal of state funding from any institution that commemorates </w:t>
      </w:r>
      <w:r w:rsidR="003D2DB5" w:rsidRPr="00D667E8">
        <w:rPr>
          <w:sz w:val="24"/>
          <w:szCs w:val="24"/>
        </w:rPr>
        <w:t xml:space="preserve">Nakba (Catastrophe) Day, </w:t>
      </w:r>
      <w:r w:rsidR="00AA6DE7" w:rsidRPr="00D667E8">
        <w:rPr>
          <w:sz w:val="24"/>
          <w:szCs w:val="24"/>
        </w:rPr>
        <w:t>the Palestinian day of mourning</w:t>
      </w:r>
      <w:r w:rsidR="00FA665B" w:rsidRPr="00D667E8">
        <w:rPr>
          <w:sz w:val="24"/>
          <w:szCs w:val="24"/>
        </w:rPr>
        <w:t>.</w:t>
      </w:r>
      <w:r w:rsidR="00AA6DE7" w:rsidRPr="00D667E8">
        <w:rPr>
          <w:sz w:val="24"/>
          <w:szCs w:val="24"/>
        </w:rPr>
        <w:t xml:space="preserve"> </w:t>
      </w:r>
      <w:r w:rsidR="00FA665B" w:rsidRPr="00D667E8">
        <w:rPr>
          <w:sz w:val="24"/>
          <w:szCs w:val="24"/>
        </w:rPr>
        <w:t>C</w:t>
      </w:r>
      <w:r w:rsidR="00AA6DE7" w:rsidRPr="00D667E8">
        <w:rPr>
          <w:sz w:val="24"/>
          <w:szCs w:val="24"/>
        </w:rPr>
        <w:t>oincid</w:t>
      </w:r>
      <w:r w:rsidR="00FA665B" w:rsidRPr="00D667E8">
        <w:rPr>
          <w:sz w:val="24"/>
          <w:szCs w:val="24"/>
        </w:rPr>
        <w:t>ing</w:t>
      </w:r>
      <w:r w:rsidR="00AA6DE7" w:rsidRPr="00D667E8">
        <w:rPr>
          <w:sz w:val="24"/>
          <w:szCs w:val="24"/>
        </w:rPr>
        <w:t xml:space="preserve"> with Israel’s d</w:t>
      </w:r>
      <w:r w:rsidR="003A5EC8" w:rsidRPr="00D667E8">
        <w:rPr>
          <w:sz w:val="24"/>
          <w:szCs w:val="24"/>
        </w:rPr>
        <w:t>ay of independence,</w:t>
      </w:r>
      <w:r w:rsidR="00AA6DE7" w:rsidRPr="00D667E8">
        <w:rPr>
          <w:sz w:val="24"/>
          <w:szCs w:val="24"/>
        </w:rPr>
        <w:t xml:space="preserve"> </w:t>
      </w:r>
      <w:r w:rsidR="003D2DB5" w:rsidRPr="00D667E8">
        <w:rPr>
          <w:sz w:val="24"/>
          <w:szCs w:val="24"/>
        </w:rPr>
        <w:t xml:space="preserve">this day </w:t>
      </w:r>
      <w:r w:rsidR="00AA6DE7" w:rsidRPr="00D667E8">
        <w:rPr>
          <w:sz w:val="24"/>
          <w:szCs w:val="24"/>
        </w:rPr>
        <w:t xml:space="preserve">marks the </w:t>
      </w:r>
      <w:r w:rsidR="001C4D73" w:rsidRPr="00D667E8">
        <w:rPr>
          <w:sz w:val="24"/>
          <w:szCs w:val="24"/>
        </w:rPr>
        <w:t xml:space="preserve">1948 </w:t>
      </w:r>
      <w:r w:rsidR="00AA6DE7" w:rsidRPr="00D667E8">
        <w:rPr>
          <w:sz w:val="24"/>
          <w:szCs w:val="24"/>
        </w:rPr>
        <w:t xml:space="preserve">dispossession of the Palestinian people by Jewish forces. </w:t>
      </w:r>
      <w:r w:rsidR="00FA665B" w:rsidRPr="00D667E8">
        <w:rPr>
          <w:sz w:val="24"/>
          <w:szCs w:val="24"/>
        </w:rPr>
        <w:t xml:space="preserve"> </w:t>
      </w:r>
    </w:p>
    <w:p w:rsidR="00A21B13" w:rsidRPr="00D667E8" w:rsidRDefault="001C4D73" w:rsidP="00AF0136">
      <w:pPr>
        <w:pStyle w:val="mb311noboraCharCharCharCharCharChar"/>
        <w:numPr>
          <w:ilvl w:val="0"/>
          <w:numId w:val="1"/>
        </w:numPr>
        <w:spacing w:before="0" w:after="0" w:line="252" w:lineRule="auto"/>
        <w:rPr>
          <w:sz w:val="24"/>
          <w:szCs w:val="24"/>
        </w:rPr>
      </w:pPr>
      <w:r w:rsidRPr="00D667E8">
        <w:rPr>
          <w:sz w:val="24"/>
          <w:szCs w:val="24"/>
        </w:rPr>
        <w:t>T</w:t>
      </w:r>
      <w:r w:rsidR="00A21B13" w:rsidRPr="00D667E8">
        <w:rPr>
          <w:sz w:val="24"/>
          <w:szCs w:val="24"/>
        </w:rPr>
        <w:t xml:space="preserve">he </w:t>
      </w:r>
      <w:r w:rsidR="003833BA" w:rsidRPr="00D667E8">
        <w:rPr>
          <w:i/>
          <w:sz w:val="24"/>
          <w:szCs w:val="24"/>
        </w:rPr>
        <w:t>Family Unification L</w:t>
      </w:r>
      <w:r w:rsidR="00A21B13" w:rsidRPr="00D667E8">
        <w:rPr>
          <w:i/>
          <w:sz w:val="24"/>
          <w:szCs w:val="24"/>
        </w:rPr>
        <w:t>aw</w:t>
      </w:r>
      <w:r w:rsidR="00A21B13" w:rsidRPr="00D667E8">
        <w:rPr>
          <w:sz w:val="24"/>
          <w:szCs w:val="24"/>
        </w:rPr>
        <w:t xml:space="preserve"> prohibits </w:t>
      </w:r>
      <w:r w:rsidR="00A21B13" w:rsidRPr="00D667E8">
        <w:rPr>
          <w:rStyle w:val="link3"/>
          <w:sz w:val="24"/>
          <w:szCs w:val="24"/>
        </w:rPr>
        <w:t xml:space="preserve">non-citizen spouses and children of Arab Israeli citizens from entering Israel. </w:t>
      </w:r>
      <w:r w:rsidRPr="00D667E8">
        <w:rPr>
          <w:rStyle w:val="link3"/>
          <w:sz w:val="24"/>
          <w:szCs w:val="24"/>
        </w:rPr>
        <w:t>If</w:t>
      </w:r>
      <w:r w:rsidR="00A21B13" w:rsidRPr="00D667E8">
        <w:rPr>
          <w:rStyle w:val="link3"/>
          <w:sz w:val="24"/>
          <w:szCs w:val="24"/>
        </w:rPr>
        <w:t xml:space="preserve"> you are a Palestinian from outside Israel, married to or a child of an Israeli</w:t>
      </w:r>
      <w:r w:rsidR="00AB0F6B" w:rsidRPr="00D667E8">
        <w:rPr>
          <w:rStyle w:val="link3"/>
          <w:sz w:val="24"/>
          <w:szCs w:val="24"/>
        </w:rPr>
        <w:t xml:space="preserve"> citizen</w:t>
      </w:r>
      <w:r w:rsidR="00A21B13" w:rsidRPr="00D667E8">
        <w:rPr>
          <w:rStyle w:val="link3"/>
          <w:sz w:val="24"/>
          <w:szCs w:val="24"/>
        </w:rPr>
        <w:t>, you are barred from living with your spouse or parent in Israel. This law applies to Arabs</w:t>
      </w:r>
      <w:r w:rsidRPr="00D667E8">
        <w:rPr>
          <w:rStyle w:val="link3"/>
          <w:sz w:val="24"/>
          <w:szCs w:val="24"/>
        </w:rPr>
        <w:t xml:space="preserve"> only</w:t>
      </w:r>
      <w:r w:rsidR="00A21B13" w:rsidRPr="00D667E8">
        <w:rPr>
          <w:rStyle w:val="link3"/>
          <w:sz w:val="24"/>
          <w:szCs w:val="24"/>
        </w:rPr>
        <w:t xml:space="preserve">. </w:t>
      </w:r>
      <w:r w:rsidR="00A21B13" w:rsidRPr="00D667E8">
        <w:rPr>
          <w:sz w:val="24"/>
          <w:szCs w:val="24"/>
        </w:rPr>
        <w:t xml:space="preserve"> </w:t>
      </w:r>
    </w:p>
    <w:p w:rsidR="00E77260" w:rsidRPr="00D667E8" w:rsidRDefault="00E77260" w:rsidP="00AF0136">
      <w:pPr>
        <w:pStyle w:val="mb311noboraCharCharCharCharCharChar"/>
        <w:numPr>
          <w:ilvl w:val="0"/>
          <w:numId w:val="1"/>
        </w:numPr>
        <w:spacing w:before="0" w:after="0" w:line="252" w:lineRule="auto"/>
        <w:rPr>
          <w:rStyle w:val="link3"/>
          <w:sz w:val="24"/>
          <w:szCs w:val="24"/>
        </w:rPr>
      </w:pPr>
      <w:r w:rsidRPr="00D667E8">
        <w:rPr>
          <w:rStyle w:val="high"/>
          <w:sz w:val="24"/>
          <w:szCs w:val="24"/>
        </w:rPr>
        <w:t xml:space="preserve">The </w:t>
      </w:r>
      <w:r w:rsidRPr="00D667E8">
        <w:rPr>
          <w:rStyle w:val="high"/>
          <w:i/>
          <w:sz w:val="24"/>
          <w:szCs w:val="24"/>
        </w:rPr>
        <w:t>National Planning and Building Law</w:t>
      </w:r>
      <w:r w:rsidRPr="00D667E8">
        <w:rPr>
          <w:rStyle w:val="link3"/>
          <w:sz w:val="24"/>
          <w:szCs w:val="24"/>
        </w:rPr>
        <w:t xml:space="preserve"> allows for the expansion of Jewish settlements while freezing the boundaries of existing Arab villages. It also re-classifies many Arab villages as “non-residential,”</w:t>
      </w:r>
      <w:r w:rsidR="00E46C4A" w:rsidRPr="00D667E8">
        <w:rPr>
          <w:rStyle w:val="link3"/>
          <w:sz w:val="24"/>
          <w:szCs w:val="24"/>
        </w:rPr>
        <w:t xml:space="preserve"> thereby creating “</w:t>
      </w:r>
      <w:r w:rsidRPr="00D667E8">
        <w:rPr>
          <w:rStyle w:val="link3"/>
          <w:sz w:val="24"/>
          <w:szCs w:val="24"/>
        </w:rPr>
        <w:t>unrecognized villages</w:t>
      </w:r>
      <w:r w:rsidR="00E46C4A" w:rsidRPr="00D667E8">
        <w:rPr>
          <w:rStyle w:val="link3"/>
          <w:sz w:val="24"/>
          <w:szCs w:val="24"/>
        </w:rPr>
        <w:t>.”</w:t>
      </w:r>
      <w:r w:rsidRPr="00D667E8">
        <w:rPr>
          <w:rStyle w:val="link3"/>
          <w:sz w:val="24"/>
          <w:szCs w:val="24"/>
        </w:rPr>
        <w:t xml:space="preserve"> </w:t>
      </w:r>
      <w:r w:rsidR="00E46C4A" w:rsidRPr="00D667E8">
        <w:rPr>
          <w:rStyle w:val="link3"/>
          <w:sz w:val="24"/>
          <w:szCs w:val="24"/>
        </w:rPr>
        <w:t>These</w:t>
      </w:r>
      <w:r w:rsidRPr="00D667E8">
        <w:rPr>
          <w:rStyle w:val="link3"/>
          <w:sz w:val="24"/>
          <w:szCs w:val="24"/>
        </w:rPr>
        <w:t xml:space="preserve"> villages do not receive basic municipal services such as water and electricity</w:t>
      </w:r>
      <w:r w:rsidR="00E46C4A" w:rsidRPr="00D667E8">
        <w:rPr>
          <w:rStyle w:val="link3"/>
          <w:sz w:val="24"/>
          <w:szCs w:val="24"/>
        </w:rPr>
        <w:t xml:space="preserve"> and</w:t>
      </w:r>
      <w:r w:rsidRPr="00D667E8">
        <w:rPr>
          <w:rStyle w:val="link3"/>
          <w:sz w:val="24"/>
          <w:szCs w:val="24"/>
        </w:rPr>
        <w:t xml:space="preserve"> all buildings are </w:t>
      </w:r>
      <w:r w:rsidR="00B8248F" w:rsidRPr="00D667E8">
        <w:rPr>
          <w:rStyle w:val="link3"/>
          <w:sz w:val="24"/>
          <w:szCs w:val="24"/>
        </w:rPr>
        <w:t>under threat of demolition</w:t>
      </w:r>
      <w:r w:rsidRPr="00D667E8">
        <w:rPr>
          <w:rStyle w:val="link3"/>
          <w:sz w:val="24"/>
          <w:szCs w:val="24"/>
        </w:rPr>
        <w:t>.</w:t>
      </w:r>
    </w:p>
    <w:p w:rsidR="009C3421" w:rsidRPr="00D667E8" w:rsidRDefault="009C3421" w:rsidP="00AF0136">
      <w:pPr>
        <w:pStyle w:val="mb311noboraCharCharCharCharCharChar"/>
        <w:numPr>
          <w:ilvl w:val="0"/>
          <w:numId w:val="1"/>
        </w:numPr>
        <w:spacing w:before="0" w:after="0" w:line="252" w:lineRule="auto"/>
        <w:rPr>
          <w:sz w:val="24"/>
          <w:szCs w:val="24"/>
        </w:rPr>
      </w:pPr>
      <w:r w:rsidRPr="00D667E8">
        <w:rPr>
          <w:sz w:val="24"/>
          <w:szCs w:val="24"/>
        </w:rPr>
        <w:t xml:space="preserve">Because they are not Jewish, Israel has launched a campaign to displace tens of thousands of Bedouins from their villages within Israel proper. Virtually all are Israeli citizens and their villages pre-date the state of Israel. </w:t>
      </w:r>
    </w:p>
    <w:p w:rsidR="00E77260" w:rsidRPr="00D667E8" w:rsidRDefault="00E77260" w:rsidP="00AF0136">
      <w:pPr>
        <w:pStyle w:val="mb311noboraCharCharCharCharCharChar"/>
        <w:numPr>
          <w:ilvl w:val="0"/>
          <w:numId w:val="1"/>
        </w:numPr>
        <w:spacing w:before="0" w:after="0" w:line="252" w:lineRule="auto"/>
        <w:rPr>
          <w:sz w:val="24"/>
          <w:szCs w:val="24"/>
        </w:rPr>
      </w:pPr>
      <w:r w:rsidRPr="00D667E8">
        <w:rPr>
          <w:sz w:val="24"/>
          <w:szCs w:val="24"/>
        </w:rPr>
        <w:t xml:space="preserve">Jewish residents living in illegal settlements in the Palestinian West Bank have full rights of citizenship; Palestinian residents of the West Bank do not. Israel’s de facto boundaries routinely adapt to the expansion of Jewish only settlements on Palestinian land. </w:t>
      </w:r>
    </w:p>
    <w:sectPr w:rsidR="00E77260" w:rsidRPr="00D667E8" w:rsidSect="00AE53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0E" w:rsidRDefault="0040260E" w:rsidP="00C71A50">
      <w:pPr>
        <w:spacing w:after="0" w:line="240" w:lineRule="auto"/>
      </w:pPr>
      <w:r>
        <w:separator/>
      </w:r>
    </w:p>
  </w:endnote>
  <w:endnote w:type="continuationSeparator" w:id="0">
    <w:p w:rsidR="0040260E" w:rsidRDefault="0040260E" w:rsidP="00C7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0E" w:rsidRDefault="0040260E" w:rsidP="00C71A50">
      <w:pPr>
        <w:spacing w:after="0" w:line="240" w:lineRule="auto"/>
      </w:pPr>
      <w:r>
        <w:separator/>
      </w:r>
    </w:p>
  </w:footnote>
  <w:footnote w:type="continuationSeparator" w:id="0">
    <w:p w:rsidR="0040260E" w:rsidRDefault="0040260E" w:rsidP="00C71A50">
      <w:pPr>
        <w:spacing w:after="0" w:line="240" w:lineRule="auto"/>
      </w:pPr>
      <w:r>
        <w:continuationSeparator/>
      </w:r>
    </w:p>
  </w:footnote>
  <w:footnote w:id="1">
    <w:p w:rsidR="00C71A50" w:rsidRPr="00D667E8" w:rsidRDefault="00C71A50">
      <w:pPr>
        <w:pStyle w:val="FootnoteText"/>
        <w:rPr>
          <w:rFonts w:ascii="Times New Roman" w:hAnsi="Times New Roman" w:cs="Times New Roman"/>
        </w:rPr>
      </w:pPr>
      <w:r w:rsidRPr="00D667E8">
        <w:rPr>
          <w:rStyle w:val="FootnoteReference"/>
          <w:rFonts w:ascii="Times New Roman" w:hAnsi="Times New Roman" w:cs="Times New Roman"/>
          <w:vertAlign w:val="baseline"/>
        </w:rPr>
        <w:footnoteRef/>
      </w:r>
      <w:r w:rsidRPr="00D667E8">
        <w:rPr>
          <w:rFonts w:ascii="Times New Roman" w:hAnsi="Times New Roman" w:cs="Times New Roman"/>
        </w:rPr>
        <w:t xml:space="preserve"> </w:t>
      </w:r>
      <w:hyperlink r:id="rId1" w:history="1">
        <w:r w:rsidR="00E77260" w:rsidRPr="00D667E8">
          <w:rPr>
            <w:rStyle w:val="Hyperlink"/>
            <w:rFonts w:ascii="Times New Roman" w:hAnsi="Times New Roman" w:cs="Times New Roman"/>
            <w:color w:val="auto"/>
            <w:u w:val="none"/>
          </w:rPr>
          <w:t>http://www.adalah.org/en/law/index</w:t>
        </w:r>
      </w:hyperlink>
      <w:r w:rsidR="00E77260" w:rsidRPr="00D667E8">
        <w:rPr>
          <w:rFonts w:ascii="Times New Roman" w:hAnsi="Times New Roman" w:cs="Times New Roman"/>
        </w:rPr>
        <w:t>; also see http://www.itisapartheid.org/laws.html</w:t>
      </w:r>
    </w:p>
  </w:footnote>
  <w:footnote w:id="2">
    <w:p w:rsidR="00B8248F" w:rsidRPr="00D667E8" w:rsidRDefault="00B8248F">
      <w:pPr>
        <w:pStyle w:val="FootnoteText"/>
        <w:rPr>
          <w:color w:val="0070C0"/>
        </w:rPr>
      </w:pPr>
      <w:r w:rsidRPr="00D667E8">
        <w:rPr>
          <w:rStyle w:val="FootnoteReference"/>
          <w:rFonts w:ascii="Times New Roman" w:hAnsi="Times New Roman" w:cs="Times New Roman"/>
          <w:vertAlign w:val="baseline"/>
        </w:rPr>
        <w:footnoteRef/>
      </w:r>
      <w:r w:rsidRPr="00D667E8">
        <w:rPr>
          <w:rFonts w:ascii="Times New Roman" w:hAnsi="Times New Roman" w:cs="Times New Roman"/>
        </w:rPr>
        <w:t xml:space="preserve"> Richard Forer, </w:t>
      </w:r>
      <w:r w:rsidRPr="00D667E8">
        <w:rPr>
          <w:rFonts w:ascii="Times New Roman" w:hAnsi="Times New Roman" w:cs="Times New Roman"/>
          <w:i/>
        </w:rPr>
        <w:t>Breakthrough: Transforming Fear into Compassion – A New Perspective on the Israel-Palestine Conflict</w:t>
      </w:r>
      <w:r w:rsidRPr="00D667E8">
        <w:rPr>
          <w:rFonts w:ascii="Times New Roman" w:hAnsi="Times New Roman" w:cs="Times New Roman"/>
        </w:rPr>
        <w:t>, 2010, P. 242.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94" w:rsidRPr="00D667E8" w:rsidRDefault="00482394" w:rsidP="005C594C">
    <w:pPr>
      <w:pStyle w:val="Header"/>
      <w:jc w:val="center"/>
      <w:rPr>
        <w:rFonts w:ascii="Times New Roman" w:hAnsi="Times New Roman"/>
        <w:i/>
      </w:rPr>
    </w:pPr>
    <w:r w:rsidRPr="00D667E8">
      <w:rPr>
        <w:rFonts w:ascii="Times New Roman" w:hAnsi="Times New Roman"/>
      </w:rPr>
      <w:t xml:space="preserve">Richard Forer, Author </w:t>
    </w:r>
    <w:r w:rsidRPr="00D667E8">
      <w:rPr>
        <w:rFonts w:ascii="Times New Roman" w:hAnsi="Times New Roman"/>
        <w:i/>
      </w:rPr>
      <w:t>Breakthrough: Transforming Fear into Compassion – A New Perspective on the Israel-Palestine Conflict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754D"/>
    <w:multiLevelType w:val="hybridMultilevel"/>
    <w:tmpl w:val="DE3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3F5"/>
    <w:rsid w:val="0000473A"/>
    <w:rsid w:val="000D3841"/>
    <w:rsid w:val="00124D4A"/>
    <w:rsid w:val="00165166"/>
    <w:rsid w:val="0017388B"/>
    <w:rsid w:val="001C4D73"/>
    <w:rsid w:val="001C6428"/>
    <w:rsid w:val="0022146A"/>
    <w:rsid w:val="00274ADC"/>
    <w:rsid w:val="00297777"/>
    <w:rsid w:val="002B3D89"/>
    <w:rsid w:val="002F0EAB"/>
    <w:rsid w:val="0031127E"/>
    <w:rsid w:val="00314FCC"/>
    <w:rsid w:val="003833BA"/>
    <w:rsid w:val="00390A46"/>
    <w:rsid w:val="003A5EC8"/>
    <w:rsid w:val="003D09E6"/>
    <w:rsid w:val="003D2DB5"/>
    <w:rsid w:val="0040260E"/>
    <w:rsid w:val="00450F36"/>
    <w:rsid w:val="00461B0E"/>
    <w:rsid w:val="004629A2"/>
    <w:rsid w:val="004629BA"/>
    <w:rsid w:val="00482394"/>
    <w:rsid w:val="00515874"/>
    <w:rsid w:val="0054362C"/>
    <w:rsid w:val="005656D9"/>
    <w:rsid w:val="00570C8E"/>
    <w:rsid w:val="0057648E"/>
    <w:rsid w:val="00581B51"/>
    <w:rsid w:val="005C594C"/>
    <w:rsid w:val="00635927"/>
    <w:rsid w:val="00680011"/>
    <w:rsid w:val="00721FD8"/>
    <w:rsid w:val="00732643"/>
    <w:rsid w:val="007362B8"/>
    <w:rsid w:val="007518D8"/>
    <w:rsid w:val="00772C1B"/>
    <w:rsid w:val="00777B71"/>
    <w:rsid w:val="007A52E8"/>
    <w:rsid w:val="00827C2C"/>
    <w:rsid w:val="00830DFC"/>
    <w:rsid w:val="0085564F"/>
    <w:rsid w:val="00881B51"/>
    <w:rsid w:val="0089321B"/>
    <w:rsid w:val="008C5454"/>
    <w:rsid w:val="008D0A8E"/>
    <w:rsid w:val="00951D05"/>
    <w:rsid w:val="00953B6C"/>
    <w:rsid w:val="0095601B"/>
    <w:rsid w:val="009712F4"/>
    <w:rsid w:val="0098102D"/>
    <w:rsid w:val="009C3421"/>
    <w:rsid w:val="00A06025"/>
    <w:rsid w:val="00A21B13"/>
    <w:rsid w:val="00A92806"/>
    <w:rsid w:val="00AA6DE7"/>
    <w:rsid w:val="00AB0F6B"/>
    <w:rsid w:val="00AB6F69"/>
    <w:rsid w:val="00AE53DD"/>
    <w:rsid w:val="00AF0136"/>
    <w:rsid w:val="00B603E2"/>
    <w:rsid w:val="00B63DCC"/>
    <w:rsid w:val="00B8248F"/>
    <w:rsid w:val="00BB5B28"/>
    <w:rsid w:val="00C71A50"/>
    <w:rsid w:val="00CB2EC3"/>
    <w:rsid w:val="00CD3042"/>
    <w:rsid w:val="00D449A2"/>
    <w:rsid w:val="00D667E8"/>
    <w:rsid w:val="00D90C24"/>
    <w:rsid w:val="00DE1870"/>
    <w:rsid w:val="00DF3363"/>
    <w:rsid w:val="00E22B98"/>
    <w:rsid w:val="00E260AD"/>
    <w:rsid w:val="00E42A35"/>
    <w:rsid w:val="00E46C4A"/>
    <w:rsid w:val="00E77260"/>
    <w:rsid w:val="00EA2286"/>
    <w:rsid w:val="00F0646F"/>
    <w:rsid w:val="00F17ED5"/>
    <w:rsid w:val="00F2400E"/>
    <w:rsid w:val="00F407CA"/>
    <w:rsid w:val="00FA665B"/>
    <w:rsid w:val="00FA73F5"/>
    <w:rsid w:val="00FC526E"/>
    <w:rsid w:val="00FE1596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1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1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1A50"/>
    <w:rPr>
      <w:vertAlign w:val="superscript"/>
    </w:rPr>
  </w:style>
  <w:style w:type="paragraph" w:customStyle="1" w:styleId="mb311noboraCharCharCharCharCharChar">
    <w:name w:val="mb 3 11 no b or a Char Char Char Char Char Char"/>
    <w:basedOn w:val="Normal"/>
    <w:link w:val="mb311noboraCharCharCharCharCharCharChar"/>
    <w:qFormat/>
    <w:rsid w:val="00E42A35"/>
    <w:pPr>
      <w:spacing w:before="120" w:after="120" w:line="360" w:lineRule="auto"/>
      <w:ind w:left="680"/>
      <w:jc w:val="both"/>
    </w:pPr>
    <w:rPr>
      <w:rFonts w:ascii="Times New Roman" w:eastAsia="Times New Roman" w:hAnsi="Times New Roman" w:cs="Times New Roman"/>
    </w:rPr>
  </w:style>
  <w:style w:type="character" w:customStyle="1" w:styleId="mb311noboraCharCharCharCharCharCharChar">
    <w:name w:val="mb 3 11 no b or a Char Char Char Char Char Char Char"/>
    <w:basedOn w:val="DefaultParagraphFont"/>
    <w:link w:val="mb311noboraCharCharCharCharCharChar"/>
    <w:rsid w:val="00E42A35"/>
    <w:rPr>
      <w:rFonts w:ascii="Times New Roman" w:eastAsia="Times New Roman" w:hAnsi="Times New Roman" w:cs="Times New Roman"/>
    </w:rPr>
  </w:style>
  <w:style w:type="character" w:customStyle="1" w:styleId="link3">
    <w:name w:val="link3"/>
    <w:basedOn w:val="DefaultParagraphFont"/>
    <w:rsid w:val="00A21B13"/>
  </w:style>
  <w:style w:type="character" w:customStyle="1" w:styleId="high">
    <w:name w:val="high"/>
    <w:basedOn w:val="DefaultParagraphFont"/>
    <w:rsid w:val="004629BA"/>
  </w:style>
  <w:style w:type="character" w:customStyle="1" w:styleId="source">
    <w:name w:val="source"/>
    <w:basedOn w:val="DefaultParagraphFont"/>
    <w:rsid w:val="004629BA"/>
  </w:style>
  <w:style w:type="character" w:styleId="Hyperlink">
    <w:name w:val="Hyperlink"/>
    <w:basedOn w:val="DefaultParagraphFont"/>
    <w:uiPriority w:val="99"/>
    <w:unhideWhenUsed/>
    <w:rsid w:val="00E772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394"/>
  </w:style>
  <w:style w:type="paragraph" w:styleId="Footer">
    <w:name w:val="footer"/>
    <w:basedOn w:val="Normal"/>
    <w:link w:val="FooterChar"/>
    <w:uiPriority w:val="99"/>
    <w:semiHidden/>
    <w:unhideWhenUsed/>
    <w:rsid w:val="00482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394"/>
  </w:style>
  <w:style w:type="paragraph" w:styleId="NormalWeb">
    <w:name w:val="Normal (Web)"/>
    <w:basedOn w:val="Normal"/>
    <w:uiPriority w:val="99"/>
    <w:unhideWhenUsed/>
    <w:rsid w:val="007A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alah.org/en/law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F1541-D115-4056-BF53-19309237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76</cp:revision>
  <cp:lastPrinted>2015-04-27T19:35:00Z</cp:lastPrinted>
  <dcterms:created xsi:type="dcterms:W3CDTF">2015-03-08T22:15:00Z</dcterms:created>
  <dcterms:modified xsi:type="dcterms:W3CDTF">2015-04-27T19:38:00Z</dcterms:modified>
</cp:coreProperties>
</file>